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BA014E">
        <w:rPr>
          <w:u w:val="none"/>
        </w:rPr>
        <w:t>44.02.01 Дошкольное образование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95</w:t>
            </w:r>
            <w:r w:rsidR="002503A9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2503A9">
              <w:rPr>
                <w:sz w:val="20"/>
              </w:rPr>
              <w:t>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44522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044522" w:rsidP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03A9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1115"/>
      </w:tblGrid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1115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2503A9" w:rsidP="002503A9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 w:rsidP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A014E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2503A9">
              <w:rPr>
                <w:sz w:val="20"/>
              </w:rPr>
              <w:t>колледже</w:t>
            </w:r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 w:rsidP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BA014E"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44522"/>
    <w:rsid w:val="0023596E"/>
    <w:rsid w:val="002503A9"/>
    <w:rsid w:val="002A0733"/>
    <w:rsid w:val="002B1657"/>
    <w:rsid w:val="002D1AFF"/>
    <w:rsid w:val="00310756"/>
    <w:rsid w:val="00631A10"/>
    <w:rsid w:val="00987296"/>
    <w:rsid w:val="00A81057"/>
    <w:rsid w:val="00BA014E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7</cp:revision>
  <dcterms:created xsi:type="dcterms:W3CDTF">2023-09-20T09:07:00Z</dcterms:created>
  <dcterms:modified xsi:type="dcterms:W3CDTF">2023-09-21T12:45:00Z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